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68CF" w14:textId="77777777" w:rsidR="00C74455" w:rsidRPr="00D06139" w:rsidRDefault="009A12A9" w:rsidP="0069129C">
      <w:pPr>
        <w:pStyle w:val="Heading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Description générale</w:t>
      </w:r>
    </w:p>
    <w:p w14:paraId="762FA77B" w14:textId="77777777" w:rsidR="009A12A9" w:rsidRPr="009A12A9" w:rsidRDefault="009A12A9" w:rsidP="009A12A9">
      <w:pPr>
        <w:pStyle w:val="Bulleted1"/>
        <w:numPr>
          <w:ilvl w:val="0"/>
          <w:numId w:val="0"/>
        </w:numPr>
        <w:rPr>
          <w:lang w:val="fr-BE"/>
        </w:rPr>
      </w:pPr>
      <w:r w:rsidRPr="009A12A9">
        <w:rPr>
          <w:lang w:val="fr-BE"/>
        </w:rPr>
        <w:t>Système d’évacuation des eaux pluviales par dépression, avec taux de remplissage élevé, composé de tuyaux et raccords en polyéthylène, d’entonnoirs spécifiques au système et d’accessoires.</w:t>
      </w:r>
    </w:p>
    <w:p w14:paraId="672A6659" w14:textId="77777777" w:rsidR="009A12A9" w:rsidRPr="009A12A9" w:rsidRDefault="009A12A9" w:rsidP="009A12A9">
      <w:pPr>
        <w:pStyle w:val="Bulleted1"/>
        <w:numPr>
          <w:ilvl w:val="0"/>
          <w:numId w:val="0"/>
        </w:numPr>
        <w:rPr>
          <w:lang w:val="fr-BE"/>
        </w:rPr>
      </w:pPr>
    </w:p>
    <w:p w14:paraId="22BDEF39" w14:textId="77777777" w:rsidR="009A12A9" w:rsidRPr="009A12A9" w:rsidRDefault="009A12A9" w:rsidP="009A12A9">
      <w:pPr>
        <w:pStyle w:val="Bulleted1"/>
        <w:numPr>
          <w:ilvl w:val="0"/>
          <w:numId w:val="0"/>
        </w:numPr>
        <w:rPr>
          <w:lang w:val="fr-BE"/>
        </w:rPr>
      </w:pPr>
      <w:r w:rsidRPr="009A12A9">
        <w:rPr>
          <w:lang w:val="fr-BE"/>
        </w:rPr>
        <w:t xml:space="preserve">L’installation est réalisée après une étude précise du fabricant qui établit un schéma isométrique et une note de calcul hydraulique. </w:t>
      </w:r>
    </w:p>
    <w:p w14:paraId="0A37501D" w14:textId="77777777" w:rsidR="009A12A9" w:rsidRPr="009A12A9" w:rsidRDefault="009A12A9" w:rsidP="009A12A9">
      <w:pPr>
        <w:pStyle w:val="Bulleted1"/>
        <w:numPr>
          <w:ilvl w:val="0"/>
          <w:numId w:val="0"/>
        </w:numPr>
        <w:rPr>
          <w:lang w:val="fr-BE"/>
        </w:rPr>
      </w:pPr>
    </w:p>
    <w:p w14:paraId="0EFAAA9A" w14:textId="77777777" w:rsidR="009A12A9" w:rsidRPr="009A12A9" w:rsidRDefault="009A12A9" w:rsidP="009A12A9">
      <w:pPr>
        <w:pStyle w:val="Bulleted1"/>
        <w:numPr>
          <w:ilvl w:val="0"/>
          <w:numId w:val="0"/>
        </w:numPr>
        <w:rPr>
          <w:lang w:val="fr-BE"/>
        </w:rPr>
      </w:pPr>
      <w:r w:rsidRPr="009A12A9">
        <w:rPr>
          <w:lang w:val="fr-BE"/>
        </w:rPr>
        <w:t xml:space="preserve">Pour éviter des efforts et des déformations mécaniques au niveau de la liaison entre l’entonnoir et le revêtement de toiture, des dispositions adaptées doivent être prises pour chaque entonnoir. </w:t>
      </w:r>
    </w:p>
    <w:p w14:paraId="5DAB6C7B" w14:textId="77777777" w:rsidR="009A12A9" w:rsidRPr="009A12A9" w:rsidRDefault="009A12A9" w:rsidP="009A12A9">
      <w:pPr>
        <w:pStyle w:val="Bulleted1"/>
        <w:numPr>
          <w:ilvl w:val="0"/>
          <w:numId w:val="0"/>
        </w:numPr>
        <w:ind w:left="397"/>
        <w:rPr>
          <w:lang w:val="fr-BE"/>
        </w:rPr>
      </w:pPr>
    </w:p>
    <w:p w14:paraId="792AD751" w14:textId="77777777" w:rsidR="008A5169" w:rsidRPr="009A12A9" w:rsidRDefault="009A12A9" w:rsidP="009A12A9">
      <w:pPr>
        <w:pStyle w:val="Bulleted1"/>
        <w:numPr>
          <w:ilvl w:val="0"/>
          <w:numId w:val="0"/>
        </w:numPr>
        <w:rPr>
          <w:lang w:val="fr-BE"/>
        </w:rPr>
      </w:pPr>
      <w:r w:rsidRPr="009A12A9">
        <w:rPr>
          <w:lang w:val="fr-BE"/>
        </w:rPr>
        <w:t>Les tuyaux, les raccords et les entonnoirs doivent être du même fabricant</w:t>
      </w:r>
      <w:r w:rsidR="00444B9B" w:rsidRPr="009A12A9">
        <w:rPr>
          <w:lang w:val="fr-BE"/>
        </w:rPr>
        <w:t>.</w:t>
      </w:r>
    </w:p>
    <w:p w14:paraId="48283977" w14:textId="77777777" w:rsidR="008A5169" w:rsidRPr="00D06139" w:rsidRDefault="008A5169" w:rsidP="008A5169">
      <w:pPr>
        <w:pStyle w:val="Heading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Mat</w:t>
      </w:r>
      <w:r w:rsidR="009A12A9">
        <w:rPr>
          <w:rFonts w:ascii="Arial" w:hAnsi="Arial"/>
          <w:b/>
        </w:rPr>
        <w:t>ériaux</w:t>
      </w:r>
    </w:p>
    <w:p w14:paraId="0AAF34ED" w14:textId="77777777" w:rsidR="00C74455" w:rsidRPr="00D06139" w:rsidRDefault="009A12A9" w:rsidP="0069129C">
      <w:pPr>
        <w:pStyle w:val="Heading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Tuyaux et raccords</w:t>
      </w:r>
    </w:p>
    <w:p w14:paraId="126E31B5" w14:textId="77777777" w:rsidR="00902F49" w:rsidRPr="009A12A9" w:rsidRDefault="009A12A9" w:rsidP="00902F49">
      <w:pPr>
        <w:pStyle w:val="Bulleted2"/>
        <w:numPr>
          <w:ilvl w:val="0"/>
          <w:numId w:val="0"/>
        </w:numPr>
        <w:rPr>
          <w:lang w:val="fr-BE"/>
        </w:rPr>
      </w:pPr>
      <w:r w:rsidRPr="009A12A9">
        <w:rPr>
          <w:lang w:val="fr-BE"/>
        </w:rPr>
        <w:t>Tuyaux et raccords en polyéthylène haute densité (PE</w:t>
      </w:r>
      <w:r w:rsidR="00252558">
        <w:rPr>
          <w:lang w:val="fr-BE"/>
        </w:rPr>
        <w:t>-HD</w:t>
      </w:r>
      <w:r w:rsidRPr="009A12A9">
        <w:rPr>
          <w:lang w:val="fr-BE"/>
        </w:rPr>
        <w:t>) selon NBN EN 1519 avec certificat BENOR</w:t>
      </w:r>
      <w:r w:rsidR="00902F49" w:rsidRPr="009A12A9">
        <w:rPr>
          <w:lang w:val="fr-BE"/>
        </w:rPr>
        <w:t>.</w:t>
      </w:r>
    </w:p>
    <w:p w14:paraId="02EB378F" w14:textId="77777777" w:rsidR="00902F49" w:rsidRPr="009A12A9" w:rsidRDefault="00902F49" w:rsidP="00902F49">
      <w:pPr>
        <w:pStyle w:val="Bulleted2"/>
        <w:numPr>
          <w:ilvl w:val="0"/>
          <w:numId w:val="0"/>
        </w:numPr>
        <w:ind w:left="720"/>
        <w:rPr>
          <w:lang w:val="fr-BE"/>
        </w:rPr>
      </w:pPr>
    </w:p>
    <w:p w14:paraId="04D56B6C" w14:textId="391B3FB9" w:rsidR="00A04040" w:rsidRPr="009A12A9" w:rsidRDefault="5354CBDC" w:rsidP="0E13256C">
      <w:pPr>
        <w:pStyle w:val="Bulleted2"/>
        <w:numPr>
          <w:ilvl w:val="0"/>
          <w:numId w:val="0"/>
        </w:numPr>
        <w:rPr>
          <w:i/>
          <w:iCs/>
          <w:lang w:val="fr-BE"/>
        </w:rPr>
      </w:pPr>
      <w:r w:rsidRPr="0E13256C">
        <w:rPr>
          <w:i/>
          <w:iCs/>
          <w:lang w:val="fr-BE"/>
        </w:rPr>
        <w:t>Voir</w:t>
      </w:r>
      <w:r w:rsidR="009A12A9" w:rsidRPr="0E13256C">
        <w:rPr>
          <w:i/>
          <w:iCs/>
          <w:lang w:val="fr-BE"/>
        </w:rPr>
        <w:t xml:space="preserve"> description cahier des charges Geberit </w:t>
      </w:r>
      <w:r w:rsidR="00902F49" w:rsidRPr="0E13256C">
        <w:rPr>
          <w:i/>
          <w:iCs/>
          <w:lang w:val="fr-BE"/>
        </w:rPr>
        <w:t>PE</w:t>
      </w:r>
      <w:r w:rsidR="00252558" w:rsidRPr="0E13256C">
        <w:rPr>
          <w:i/>
          <w:iCs/>
          <w:lang w:val="fr-BE"/>
        </w:rPr>
        <w:t>-HD</w:t>
      </w:r>
    </w:p>
    <w:p w14:paraId="29E7C405" w14:textId="77777777" w:rsidR="008A5169" w:rsidRPr="00D06139" w:rsidRDefault="009A12A9" w:rsidP="008A5169">
      <w:pPr>
        <w:pStyle w:val="Heading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Entonnoirs</w:t>
      </w:r>
    </w:p>
    <w:p w14:paraId="6B4A1A22" w14:textId="77777777" w:rsidR="00685B7E" w:rsidRPr="009A12A9" w:rsidRDefault="009A12A9" w:rsidP="00F0523A">
      <w:pPr>
        <w:pStyle w:val="Bulleted2"/>
        <w:numPr>
          <w:ilvl w:val="2"/>
          <w:numId w:val="18"/>
        </w:numPr>
        <w:spacing w:before="240" w:after="240"/>
        <w:ind w:left="737" w:hanging="737"/>
        <w:rPr>
          <w:lang w:val="fr-BE"/>
        </w:rPr>
      </w:pPr>
      <w:r w:rsidRPr="009A12A9">
        <w:rPr>
          <w:lang w:val="fr-BE"/>
        </w:rPr>
        <w:t>Pour revêtements de toiture bitumineux</w:t>
      </w:r>
    </w:p>
    <w:p w14:paraId="0C444677" w14:textId="52644FDA" w:rsidR="00F0523A" w:rsidRPr="00F73F55" w:rsidRDefault="009A12A9" w:rsidP="00F0523A">
      <w:pPr>
        <w:pStyle w:val="Bulleted2"/>
        <w:numPr>
          <w:ilvl w:val="0"/>
          <w:numId w:val="0"/>
        </w:numPr>
        <w:rPr>
          <w:lang w:val="fr-BE"/>
        </w:rPr>
      </w:pPr>
      <w:r w:rsidRPr="0E13256C">
        <w:rPr>
          <w:lang w:val="fr-BE"/>
        </w:rPr>
        <w:t>L</w:t>
      </w:r>
      <w:r w:rsidR="003672BE" w:rsidRPr="0E13256C">
        <w:rPr>
          <w:lang w:val="fr-BE"/>
        </w:rPr>
        <w:t xml:space="preserve">es </w:t>
      </w:r>
      <w:r w:rsidRPr="0E13256C">
        <w:rPr>
          <w:lang w:val="fr-BE"/>
        </w:rPr>
        <w:t>entonnoir</w:t>
      </w:r>
      <w:r w:rsidR="003672BE" w:rsidRPr="0E13256C">
        <w:rPr>
          <w:lang w:val="fr-BE"/>
        </w:rPr>
        <w:t xml:space="preserve">s </w:t>
      </w:r>
      <w:r w:rsidR="745591DA" w:rsidRPr="0E13256C">
        <w:rPr>
          <w:lang w:val="fr-BE"/>
        </w:rPr>
        <w:t>verticaux</w:t>
      </w:r>
      <w:r w:rsidR="003672BE" w:rsidRPr="0E13256C">
        <w:rPr>
          <w:lang w:val="fr-BE"/>
        </w:rPr>
        <w:t xml:space="preserve"> </w:t>
      </w:r>
      <w:r w:rsidRPr="0E13256C">
        <w:rPr>
          <w:lang w:val="fr-BE"/>
        </w:rPr>
        <w:t>se compose</w:t>
      </w:r>
      <w:r w:rsidR="003672BE" w:rsidRPr="0E13256C">
        <w:rPr>
          <w:lang w:val="fr-BE"/>
        </w:rPr>
        <w:t>nt</w:t>
      </w:r>
      <w:r w:rsidRPr="0E13256C">
        <w:rPr>
          <w:lang w:val="fr-BE"/>
        </w:rPr>
        <w:t xml:space="preserve"> d’un corps en acier inoxydable (1.4301) équipé d’une plaque de fixation/d’étanchéité </w:t>
      </w:r>
      <w:r w:rsidR="6D504BC6" w:rsidRPr="0E13256C">
        <w:rPr>
          <w:lang w:val="fr-BE"/>
        </w:rPr>
        <w:t>intégrée</w:t>
      </w:r>
      <w:r w:rsidRPr="0E13256C">
        <w:rPr>
          <w:lang w:val="fr-BE"/>
        </w:rPr>
        <w:t>, d’un tuyau de raccordement en PE</w:t>
      </w:r>
      <w:r w:rsidR="00252558" w:rsidRPr="0E13256C">
        <w:rPr>
          <w:lang w:val="fr-BE"/>
        </w:rPr>
        <w:t>-HD</w:t>
      </w:r>
      <w:r w:rsidRPr="0E13256C">
        <w:rPr>
          <w:lang w:val="fr-BE"/>
        </w:rPr>
        <w:t xml:space="preserve"> de diamètre </w:t>
      </w:r>
      <w:r w:rsidR="008D0447" w:rsidRPr="0E13256C">
        <w:rPr>
          <w:lang w:val="fr-BE"/>
        </w:rPr>
        <w:t>56 mm o</w:t>
      </w:r>
      <w:r w:rsidR="003672BE" w:rsidRPr="0E13256C">
        <w:rPr>
          <w:lang w:val="fr-BE"/>
        </w:rPr>
        <w:t xml:space="preserve">u </w:t>
      </w:r>
      <w:r w:rsidR="008D0447" w:rsidRPr="0E13256C">
        <w:rPr>
          <w:lang w:val="fr-BE"/>
        </w:rPr>
        <w:t>90 mm (</w:t>
      </w:r>
      <w:r w:rsidR="003672BE" w:rsidRPr="0E13256C">
        <w:rPr>
          <w:lang w:val="fr-BE"/>
        </w:rPr>
        <w:t>selon la surface de toiture</w:t>
      </w:r>
      <w:r w:rsidR="008D0447" w:rsidRPr="0E13256C">
        <w:rPr>
          <w:lang w:val="fr-BE"/>
        </w:rPr>
        <w:t xml:space="preserve">), </w:t>
      </w:r>
      <w:r w:rsidR="003672BE" w:rsidRPr="0E13256C">
        <w:rPr>
          <w:lang w:val="fr-BE"/>
        </w:rPr>
        <w:t xml:space="preserve">d’un pare-feuille en polypropylène (PP) de diamètre 26 cm, doté d’un verrou de </w:t>
      </w:r>
      <w:r w:rsidR="23344760" w:rsidRPr="0E13256C">
        <w:rPr>
          <w:lang w:val="fr-BE"/>
        </w:rPr>
        <w:t>sécurité, et</w:t>
      </w:r>
      <w:r w:rsidR="003672BE" w:rsidRPr="0E13256C">
        <w:rPr>
          <w:lang w:val="fr-BE"/>
        </w:rPr>
        <w:t xml:space="preserve"> d’un élément isolant.  Ces entonnoirs peuvent être équipés d’un élément chauffant</w:t>
      </w:r>
      <w:r w:rsidR="008D0447" w:rsidRPr="0E13256C">
        <w:rPr>
          <w:lang w:val="fr-BE"/>
        </w:rPr>
        <w:t xml:space="preserve"> (56 mm) o</w:t>
      </w:r>
      <w:r w:rsidR="003672BE" w:rsidRPr="0E13256C">
        <w:rPr>
          <w:lang w:val="fr-BE"/>
        </w:rPr>
        <w:t>u cordon chauffant</w:t>
      </w:r>
      <w:r w:rsidR="008D0447" w:rsidRPr="0E13256C">
        <w:rPr>
          <w:lang w:val="fr-BE"/>
        </w:rPr>
        <w:t xml:space="preserve"> (90 mm)</w:t>
      </w:r>
      <w:r w:rsidR="008B6BB6" w:rsidRPr="0E13256C">
        <w:rPr>
          <w:lang w:val="fr-BE"/>
        </w:rPr>
        <w:t>.</w:t>
      </w:r>
      <w:r w:rsidR="00F27773">
        <w:rPr>
          <w:lang w:val="fr-BE"/>
        </w:rPr>
        <w:t xml:space="preserve"> </w:t>
      </w:r>
      <w:r w:rsidR="00F73F55" w:rsidRPr="005E2141">
        <w:rPr>
          <w:lang w:val="fr-BE"/>
        </w:rPr>
        <w:t xml:space="preserve">Le débit d’évacuation maximal des </w:t>
      </w:r>
      <w:r w:rsidR="004A6E13" w:rsidRPr="005E2141">
        <w:rPr>
          <w:lang w:val="fr-BE"/>
        </w:rPr>
        <w:t>entonnoirs</w:t>
      </w:r>
      <w:r w:rsidR="00F73F55" w:rsidRPr="005E2141">
        <w:rPr>
          <w:lang w:val="fr-BE"/>
        </w:rPr>
        <w:t xml:space="preserve"> vertica</w:t>
      </w:r>
      <w:r w:rsidR="004A6E13" w:rsidRPr="005E2141">
        <w:rPr>
          <w:lang w:val="fr-BE"/>
        </w:rPr>
        <w:t>ux</w:t>
      </w:r>
      <w:r w:rsidR="00F73F55" w:rsidRPr="005E2141">
        <w:rPr>
          <w:lang w:val="fr-BE"/>
        </w:rPr>
        <w:t xml:space="preserve"> est de 12 l/s (d56) ou 25 l/s (d90).</w:t>
      </w:r>
    </w:p>
    <w:p w14:paraId="6A05A809" w14:textId="77777777" w:rsidR="00086920" w:rsidRPr="00F73F55" w:rsidRDefault="00086920" w:rsidP="00F0523A">
      <w:pPr>
        <w:pStyle w:val="Bulleted2"/>
        <w:numPr>
          <w:ilvl w:val="0"/>
          <w:numId w:val="0"/>
        </w:numPr>
        <w:rPr>
          <w:lang w:val="fr-BE"/>
        </w:rPr>
      </w:pPr>
    </w:p>
    <w:p w14:paraId="2534FA81" w14:textId="7731580D" w:rsidR="00086920" w:rsidRPr="003672BE" w:rsidRDefault="003672BE" w:rsidP="003672BE">
      <w:pPr>
        <w:pStyle w:val="Bulleted2"/>
        <w:numPr>
          <w:ilvl w:val="0"/>
          <w:numId w:val="0"/>
        </w:numPr>
        <w:rPr>
          <w:lang w:val="fr-BE"/>
        </w:rPr>
      </w:pPr>
      <w:r w:rsidRPr="0E13256C">
        <w:rPr>
          <w:lang w:val="fr-BE"/>
        </w:rPr>
        <w:t xml:space="preserve">Les entonnoirs </w:t>
      </w:r>
      <w:r w:rsidR="719F722E" w:rsidRPr="0E13256C">
        <w:rPr>
          <w:lang w:val="fr-BE"/>
        </w:rPr>
        <w:t>horizontaux</w:t>
      </w:r>
      <w:r w:rsidRPr="0E13256C">
        <w:rPr>
          <w:lang w:val="fr-BE"/>
        </w:rPr>
        <w:t xml:space="preserve"> se composent d’un corps en </w:t>
      </w:r>
      <w:r w:rsidR="000B7E65" w:rsidRPr="0E13256C">
        <w:rPr>
          <w:lang w:val="fr-BE"/>
        </w:rPr>
        <w:t>PE</w:t>
      </w:r>
      <w:r w:rsidR="007F3BDE" w:rsidRPr="0E13256C">
        <w:rPr>
          <w:lang w:val="fr-BE"/>
        </w:rPr>
        <w:t>-HD</w:t>
      </w:r>
      <w:r w:rsidR="00086920" w:rsidRPr="0E13256C">
        <w:rPr>
          <w:lang w:val="fr-BE"/>
        </w:rPr>
        <w:t xml:space="preserve">, </w:t>
      </w:r>
      <w:r w:rsidRPr="0E13256C">
        <w:rPr>
          <w:lang w:val="fr-BE"/>
        </w:rPr>
        <w:t>d’une plaque de fixation/d’étanchéité séparé en acier inoxydable</w:t>
      </w:r>
      <w:r w:rsidR="00086920" w:rsidRPr="0E13256C">
        <w:rPr>
          <w:lang w:val="fr-BE"/>
        </w:rPr>
        <w:t xml:space="preserve"> (1.4301), </w:t>
      </w:r>
      <w:r w:rsidRPr="0E13256C">
        <w:rPr>
          <w:lang w:val="fr-BE"/>
        </w:rPr>
        <w:t>un entonnoir d’entrée en</w:t>
      </w:r>
      <w:r w:rsidR="000B7E65" w:rsidRPr="0E13256C">
        <w:rPr>
          <w:lang w:val="fr-BE"/>
        </w:rPr>
        <w:t xml:space="preserve"> ASA, </w:t>
      </w:r>
      <w:r w:rsidRPr="0E13256C">
        <w:rPr>
          <w:lang w:val="fr-BE"/>
        </w:rPr>
        <w:t>d’un tuyau de raccordement en PE</w:t>
      </w:r>
      <w:r w:rsidR="00252558" w:rsidRPr="0E13256C">
        <w:rPr>
          <w:lang w:val="fr-BE"/>
        </w:rPr>
        <w:t>-HD</w:t>
      </w:r>
      <w:r w:rsidRPr="0E13256C">
        <w:rPr>
          <w:lang w:val="fr-BE"/>
        </w:rPr>
        <w:t xml:space="preserve"> de diamètre 56 mm, d’un pare-feuille en polypropylène (PP) de diamètre 26 cm, doté d’un verrou de </w:t>
      </w:r>
      <w:r w:rsidR="7CAAEE42" w:rsidRPr="0E13256C">
        <w:rPr>
          <w:lang w:val="fr-BE"/>
        </w:rPr>
        <w:t>sécurité, et</w:t>
      </w:r>
      <w:r w:rsidRPr="0E13256C">
        <w:rPr>
          <w:lang w:val="fr-BE"/>
        </w:rPr>
        <w:t xml:space="preserve"> d’un élément isolant.  Ces entonnoirs peuvent être équipés d’un élément chauffant (56 mm)</w:t>
      </w:r>
      <w:r w:rsidR="00086920" w:rsidRPr="0E13256C">
        <w:rPr>
          <w:lang w:val="fr-BE"/>
        </w:rPr>
        <w:t>.</w:t>
      </w:r>
      <w:r w:rsidR="003D33B1">
        <w:rPr>
          <w:lang w:val="fr-BE"/>
        </w:rPr>
        <w:t xml:space="preserve"> </w:t>
      </w:r>
      <w:r w:rsidR="00A57713" w:rsidRPr="005E2141">
        <w:rPr>
          <w:lang w:val="fr-BE"/>
        </w:rPr>
        <w:t>Le débit d’évacuation maximal des entonnoirs horizontaux est de 9 l/s (d56).</w:t>
      </w:r>
    </w:p>
    <w:p w14:paraId="010451B9" w14:textId="566CE817" w:rsidR="00F0523A" w:rsidRPr="003D33B1" w:rsidRDefault="7FFFDCD0" w:rsidP="00F0523A">
      <w:pPr>
        <w:pStyle w:val="Bulleted2"/>
        <w:numPr>
          <w:ilvl w:val="2"/>
          <w:numId w:val="18"/>
        </w:numPr>
        <w:spacing w:before="240" w:after="240"/>
        <w:rPr>
          <w:lang w:val="fr-BE"/>
        </w:rPr>
      </w:pPr>
      <w:r w:rsidRPr="0E13256C">
        <w:rPr>
          <w:lang w:val="fr-BE"/>
        </w:rPr>
        <w:t>Pour revêtements de toiture synthétique</w:t>
      </w:r>
    </w:p>
    <w:p w14:paraId="2A229024" w14:textId="6AB57D8B" w:rsidR="0006365A" w:rsidRPr="0006365A" w:rsidRDefault="003672BE" w:rsidP="0006365A">
      <w:pPr>
        <w:pStyle w:val="Bulleted2"/>
        <w:numPr>
          <w:ilvl w:val="0"/>
          <w:numId w:val="0"/>
        </w:numPr>
        <w:rPr>
          <w:lang w:val="fr-BE"/>
        </w:rPr>
      </w:pPr>
      <w:r w:rsidRPr="0E13256C">
        <w:rPr>
          <w:lang w:val="fr-BE"/>
        </w:rPr>
        <w:t>Les entonnoir</w:t>
      </w:r>
      <w:r w:rsidR="0006365A" w:rsidRPr="0E13256C">
        <w:rPr>
          <w:lang w:val="fr-BE"/>
        </w:rPr>
        <w:t xml:space="preserve">s </w:t>
      </w:r>
      <w:r w:rsidR="007B0B94" w:rsidRPr="005E2141">
        <w:rPr>
          <w:lang w:val="fr-BE"/>
        </w:rPr>
        <w:t>verticaux et horizontaux</w:t>
      </w:r>
      <w:r w:rsidR="007B0B94">
        <w:rPr>
          <w:lang w:val="fr-BE"/>
        </w:rPr>
        <w:t xml:space="preserve"> </w:t>
      </w:r>
      <w:r w:rsidRPr="0E13256C">
        <w:rPr>
          <w:lang w:val="fr-BE"/>
        </w:rPr>
        <w:t xml:space="preserve">se composent d’un corps en acier inoxydable (1.4301), un joint EPDM sans plastifiants, d’une bride de serrage en acier inoxydable, </w:t>
      </w:r>
      <w:r w:rsidRPr="0E13256C">
        <w:rPr>
          <w:lang w:val="fr-BE"/>
        </w:rPr>
        <w:lastRenderedPageBreak/>
        <w:t>d’un tuyau de raccordement en PE</w:t>
      </w:r>
      <w:r w:rsidR="00252558" w:rsidRPr="0E13256C">
        <w:rPr>
          <w:lang w:val="fr-BE"/>
        </w:rPr>
        <w:t>-HD</w:t>
      </w:r>
      <w:r w:rsidRPr="0E13256C">
        <w:rPr>
          <w:lang w:val="fr-BE"/>
        </w:rPr>
        <w:t xml:space="preserve"> de diamètre 56 </w:t>
      </w:r>
      <w:r w:rsidR="008D0447" w:rsidRPr="0E13256C">
        <w:rPr>
          <w:lang w:val="fr-BE"/>
        </w:rPr>
        <w:t>mm o</w:t>
      </w:r>
      <w:r w:rsidRPr="0E13256C">
        <w:rPr>
          <w:lang w:val="fr-BE"/>
        </w:rPr>
        <w:t>u</w:t>
      </w:r>
      <w:r w:rsidR="008D0447" w:rsidRPr="0E13256C">
        <w:rPr>
          <w:lang w:val="fr-BE"/>
        </w:rPr>
        <w:t xml:space="preserve"> 90 mm (</w:t>
      </w:r>
      <w:r w:rsidRPr="0E13256C">
        <w:rPr>
          <w:lang w:val="fr-BE"/>
        </w:rPr>
        <w:t>selon la surface de toiture</w:t>
      </w:r>
      <w:r w:rsidR="008D0447" w:rsidRPr="0E13256C">
        <w:rPr>
          <w:lang w:val="fr-BE"/>
        </w:rPr>
        <w:t xml:space="preserve">), </w:t>
      </w:r>
      <w:r w:rsidR="0006365A" w:rsidRPr="0E13256C">
        <w:rPr>
          <w:lang w:val="fr-BE"/>
        </w:rPr>
        <w:t xml:space="preserve">d’un pare-feuille en polypropylène (PP) de diamètre 26 cm, doté d’un verrou de sécurité, et d’un élément isolant. Ces entonnoirs peuvent être équipés </w:t>
      </w:r>
      <w:r w:rsidR="530954C3" w:rsidRPr="0E13256C">
        <w:rPr>
          <w:lang w:val="fr-BE"/>
        </w:rPr>
        <w:t xml:space="preserve">d’un </w:t>
      </w:r>
      <w:r w:rsidR="0006365A" w:rsidRPr="0E13256C">
        <w:rPr>
          <w:lang w:val="fr-BE"/>
        </w:rPr>
        <w:t xml:space="preserve">élément chauffant (56 mm) ou cordon chauffant (90 mm). </w:t>
      </w:r>
      <w:r w:rsidR="00440E74">
        <w:rPr>
          <w:lang w:val="fr-BE"/>
        </w:rPr>
        <w:t xml:space="preserve"> </w:t>
      </w:r>
      <w:r w:rsidR="00A64150" w:rsidRPr="005E2141">
        <w:rPr>
          <w:lang w:val="fr-BE"/>
        </w:rPr>
        <w:t>Le débit d’évacuation maximal des entonnoirs verticaux est de 12 l/s (d56) ou 25 l/s (d90). Le débit d’évacuation maximal des entonnoirs horizontaux est de 9 l/s (d56).</w:t>
      </w:r>
    </w:p>
    <w:p w14:paraId="5A39BBE3" w14:textId="77777777" w:rsidR="0006365A" w:rsidRPr="0006365A" w:rsidRDefault="0006365A" w:rsidP="0006365A">
      <w:pPr>
        <w:pStyle w:val="Bulleted2"/>
        <w:numPr>
          <w:ilvl w:val="0"/>
          <w:numId w:val="0"/>
        </w:numPr>
        <w:rPr>
          <w:lang w:val="fr-BE"/>
        </w:rPr>
      </w:pPr>
      <w:r w:rsidRPr="0006365A">
        <w:rPr>
          <w:lang w:val="fr-BE"/>
        </w:rPr>
        <w:tab/>
      </w:r>
    </w:p>
    <w:p w14:paraId="6DD0D275" w14:textId="1E3D2BE2" w:rsidR="00F0523A" w:rsidRPr="0006365A" w:rsidRDefault="0006365A" w:rsidP="0006365A">
      <w:pPr>
        <w:pStyle w:val="Bulleted2"/>
        <w:numPr>
          <w:ilvl w:val="0"/>
          <w:numId w:val="0"/>
        </w:numPr>
        <w:rPr>
          <w:lang w:val="fr-BE"/>
        </w:rPr>
      </w:pPr>
      <w:r w:rsidRPr="0E13256C">
        <w:rPr>
          <w:lang w:val="fr-BE"/>
        </w:rPr>
        <w:t>L’entonnoir est approprié pour revêtements synthétiques, sans couche inférieure en bitume ou feutre, et d’une épaisseur maximale de 4 mm</w:t>
      </w:r>
      <w:r w:rsidR="00F0523A" w:rsidRPr="0E13256C">
        <w:rPr>
          <w:lang w:val="fr-BE"/>
        </w:rPr>
        <w:t>.</w:t>
      </w:r>
    </w:p>
    <w:p w14:paraId="1CD932EB" w14:textId="77777777" w:rsidR="00F0523A" w:rsidRDefault="0006365A" w:rsidP="00F0523A">
      <w:pPr>
        <w:pStyle w:val="Bulleted2"/>
        <w:numPr>
          <w:ilvl w:val="2"/>
          <w:numId w:val="18"/>
        </w:numPr>
        <w:spacing w:before="240" w:after="240"/>
        <w:ind w:left="737" w:hanging="737"/>
      </w:pPr>
      <w:r>
        <w:t>Pour chéneaux</w:t>
      </w:r>
    </w:p>
    <w:p w14:paraId="705D0C9E" w14:textId="78FB6D1B" w:rsidR="00727867" w:rsidRPr="0006365A" w:rsidRDefault="0006365A" w:rsidP="00727867">
      <w:pPr>
        <w:pStyle w:val="Bulleted2"/>
        <w:numPr>
          <w:ilvl w:val="0"/>
          <w:numId w:val="0"/>
        </w:numPr>
        <w:rPr>
          <w:lang w:val="fr-BE"/>
        </w:rPr>
      </w:pPr>
      <w:r w:rsidRPr="0E13256C">
        <w:rPr>
          <w:lang w:val="fr-BE"/>
        </w:rPr>
        <w:t>Les entonnoirs se composent d’un corps en acier inoxydable (1.4301), un joint EPDM sans plastifiants, d’une bride de serrage en acier inoxydable, d’un tuyau de raccordement en PE</w:t>
      </w:r>
      <w:r w:rsidR="00252558" w:rsidRPr="0E13256C">
        <w:rPr>
          <w:lang w:val="fr-BE"/>
        </w:rPr>
        <w:t>-HD</w:t>
      </w:r>
      <w:r w:rsidRPr="0E13256C">
        <w:rPr>
          <w:lang w:val="fr-BE"/>
        </w:rPr>
        <w:t xml:space="preserve"> de diamètre 56 mm ou 90 mm (selon la surface de toiture), d’un pare-feuille en polypropylène (PP) de diamètre 26 cm, doté d’un verrou de sécurité, et d’un élément isolant. Ces entonnoirs peuvent être équipés </w:t>
      </w:r>
      <w:r w:rsidR="596FEB27" w:rsidRPr="0E13256C">
        <w:rPr>
          <w:lang w:val="fr-BE"/>
        </w:rPr>
        <w:t xml:space="preserve">d’un </w:t>
      </w:r>
      <w:r w:rsidRPr="0E13256C">
        <w:rPr>
          <w:lang w:val="fr-BE"/>
        </w:rPr>
        <w:t>élément chauffant (56 mm) ou cordon chauffant (90 mm</w:t>
      </w:r>
      <w:r w:rsidR="00727867" w:rsidRPr="0E13256C">
        <w:rPr>
          <w:lang w:val="fr-BE"/>
        </w:rPr>
        <w:t>).</w:t>
      </w:r>
    </w:p>
    <w:p w14:paraId="41C8F396" w14:textId="77777777" w:rsidR="00727867" w:rsidRPr="0006365A" w:rsidRDefault="00727867" w:rsidP="00727867">
      <w:pPr>
        <w:pStyle w:val="Bulleted2"/>
        <w:numPr>
          <w:ilvl w:val="0"/>
          <w:numId w:val="0"/>
        </w:numPr>
        <w:ind w:left="720"/>
        <w:rPr>
          <w:lang w:val="fr-BE"/>
        </w:rPr>
      </w:pPr>
    </w:p>
    <w:p w14:paraId="02995673" w14:textId="77777777" w:rsidR="00727867" w:rsidRPr="0006365A" w:rsidRDefault="0006365A" w:rsidP="00727867">
      <w:pPr>
        <w:pStyle w:val="Bulleted2"/>
        <w:numPr>
          <w:ilvl w:val="0"/>
          <w:numId w:val="0"/>
        </w:numPr>
        <w:rPr>
          <w:lang w:val="fr-BE"/>
        </w:rPr>
      </w:pPr>
      <w:r w:rsidRPr="0006365A">
        <w:rPr>
          <w:lang w:val="fr-BE"/>
        </w:rPr>
        <w:t>L’entonnoir est approprié pour revêtements synthétiques sans feutre et d’une épaisseur maximale de 4 mm</w:t>
      </w:r>
      <w:r w:rsidR="00FD410F" w:rsidRPr="0006365A">
        <w:rPr>
          <w:lang w:val="fr-BE"/>
        </w:rPr>
        <w:t>.</w:t>
      </w:r>
    </w:p>
    <w:p w14:paraId="54A942D5" w14:textId="77777777" w:rsidR="00FD410F" w:rsidRPr="00D06139" w:rsidRDefault="00416D32" w:rsidP="00FD410F">
      <w:pPr>
        <w:pStyle w:val="Heading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Accessoires</w:t>
      </w:r>
    </w:p>
    <w:p w14:paraId="3088305F" w14:textId="77777777" w:rsidR="00727867" w:rsidRDefault="00416D32" w:rsidP="00727867">
      <w:pPr>
        <w:pStyle w:val="Bulleted2"/>
        <w:numPr>
          <w:ilvl w:val="2"/>
          <w:numId w:val="18"/>
        </w:numPr>
        <w:spacing w:before="240" w:after="240"/>
        <w:ind w:left="737" w:hanging="737"/>
      </w:pPr>
      <w:r>
        <w:t>Eléménts et cordons chauffants</w:t>
      </w:r>
    </w:p>
    <w:p w14:paraId="7CF36A8E" w14:textId="0631DCB2" w:rsidR="00727867" w:rsidRPr="00416D32" w:rsidRDefault="00416D32" w:rsidP="0E13256C">
      <w:pPr>
        <w:pStyle w:val="Bulleted2"/>
        <w:numPr>
          <w:ilvl w:val="0"/>
          <w:numId w:val="0"/>
        </w:numPr>
        <w:rPr>
          <w:rFonts w:ascii="Helvetica 65 Medium" w:hAnsi="Helvetica 65 Medium"/>
          <w:sz w:val="20"/>
          <w:lang w:val="fr-BE" w:eastAsia="en-US"/>
        </w:rPr>
      </w:pPr>
      <w:r w:rsidRPr="0E13256C">
        <w:rPr>
          <w:lang w:val="fr-BE"/>
        </w:rPr>
        <w:t>L’élément chauffant est autorégula</w:t>
      </w:r>
      <w:r w:rsidR="49EC88C2" w:rsidRPr="0E13256C">
        <w:rPr>
          <w:lang w:val="fr-BE"/>
        </w:rPr>
        <w:t>nt</w:t>
      </w:r>
      <w:r w:rsidRPr="0E13256C">
        <w:rPr>
          <w:lang w:val="fr-BE"/>
        </w:rPr>
        <w:t xml:space="preserve"> et </w:t>
      </w:r>
      <w:r w:rsidR="6FC2AC35" w:rsidRPr="0E13256C">
        <w:rPr>
          <w:lang w:val="fr-BE"/>
        </w:rPr>
        <w:t>d’</w:t>
      </w:r>
      <w:r w:rsidRPr="0E13256C">
        <w:rPr>
          <w:lang w:val="fr-BE"/>
        </w:rPr>
        <w:t xml:space="preserve">une puissance de 8W (230 V AC). Il est installé autour </w:t>
      </w:r>
      <w:r w:rsidR="3CA554AF" w:rsidRPr="0E13256C">
        <w:rPr>
          <w:lang w:val="fr-BE"/>
        </w:rPr>
        <w:t xml:space="preserve">du </w:t>
      </w:r>
      <w:r w:rsidRPr="0E13256C">
        <w:rPr>
          <w:lang w:val="fr-BE"/>
        </w:rPr>
        <w:t>tuyau de raccordement. L’élément chauffant est utilisé en combinaison avec les entonnoirs de diamètre 56mm</w:t>
      </w:r>
      <w:r w:rsidR="00A97B53" w:rsidRPr="0E13256C">
        <w:rPr>
          <w:lang w:val="fr-BE"/>
        </w:rPr>
        <w:t>.</w:t>
      </w:r>
      <w:r w:rsidR="00727867" w:rsidRPr="0E13256C">
        <w:rPr>
          <w:rFonts w:ascii="Helvetica 65 Medium" w:hAnsi="Helvetica 65 Medium"/>
          <w:sz w:val="20"/>
          <w:lang w:val="fr-BE" w:eastAsia="en-US"/>
        </w:rPr>
        <w:t xml:space="preserve"> </w:t>
      </w:r>
    </w:p>
    <w:p w14:paraId="72A3D3EC" w14:textId="77777777" w:rsidR="00727867" w:rsidRPr="00416D32" w:rsidRDefault="00727867" w:rsidP="0E13256C">
      <w:pPr>
        <w:pStyle w:val="Bulleted2"/>
        <w:numPr>
          <w:ilvl w:val="0"/>
          <w:numId w:val="0"/>
        </w:numPr>
        <w:spacing w:line="259" w:lineRule="auto"/>
        <w:rPr>
          <w:lang w:val="fr-BE"/>
        </w:rPr>
      </w:pPr>
    </w:p>
    <w:p w14:paraId="46C6DAE4" w14:textId="6669F004" w:rsidR="00727867" w:rsidRPr="00416D32" w:rsidRDefault="00416D32" w:rsidP="0E13256C">
      <w:pPr>
        <w:pStyle w:val="Bulleted2"/>
        <w:numPr>
          <w:ilvl w:val="0"/>
          <w:numId w:val="0"/>
        </w:numPr>
        <w:spacing w:line="259" w:lineRule="auto"/>
        <w:rPr>
          <w:lang w:val="fr-BE"/>
        </w:rPr>
      </w:pPr>
      <w:r w:rsidRPr="0E13256C">
        <w:rPr>
          <w:lang w:val="fr-BE"/>
        </w:rPr>
        <w:t xml:space="preserve">Le cordon chauffant est </w:t>
      </w:r>
      <w:r w:rsidR="4A840582" w:rsidRPr="0E13256C">
        <w:rPr>
          <w:lang w:val="fr-BE"/>
        </w:rPr>
        <w:t>autorégulant</w:t>
      </w:r>
      <w:r w:rsidRPr="0E13256C">
        <w:rPr>
          <w:lang w:val="fr-BE"/>
        </w:rPr>
        <w:t xml:space="preserve"> et à une puissance de 11,2W (230 V AC). Il est enroulé autour </w:t>
      </w:r>
      <w:r w:rsidR="555B69B1" w:rsidRPr="0E13256C">
        <w:rPr>
          <w:lang w:val="fr-BE"/>
        </w:rPr>
        <w:t>du</w:t>
      </w:r>
      <w:r w:rsidRPr="0E13256C">
        <w:rPr>
          <w:lang w:val="fr-BE"/>
        </w:rPr>
        <w:t xml:space="preserve"> tuyau de raccordement et collé à l’aide d’une bande adhésive adéquate.  Le cordon chauffant est utilisé en combinaison avec les entonnoirs de diamètre 90mm</w:t>
      </w:r>
      <w:r w:rsidR="00727867" w:rsidRPr="0E13256C">
        <w:rPr>
          <w:lang w:val="fr-BE"/>
        </w:rPr>
        <w:t>.</w:t>
      </w:r>
    </w:p>
    <w:p w14:paraId="44B4B64D" w14:textId="7822FF6B" w:rsidR="00727867" w:rsidRDefault="573BC8D2" w:rsidP="00727867">
      <w:pPr>
        <w:pStyle w:val="Bulleted2"/>
        <w:numPr>
          <w:ilvl w:val="2"/>
          <w:numId w:val="18"/>
        </w:numPr>
        <w:spacing w:before="240" w:after="240"/>
        <w:ind w:left="737" w:hanging="737"/>
      </w:pPr>
      <w:r>
        <w:t>Eléments pare-vapeur</w:t>
      </w:r>
    </w:p>
    <w:p w14:paraId="31C0F683" w14:textId="1168DD56" w:rsidR="00AD49F6" w:rsidRPr="00AD49F6" w:rsidRDefault="00AD49F6" w:rsidP="00AD49F6">
      <w:pPr>
        <w:pStyle w:val="Bulleted2"/>
        <w:numPr>
          <w:ilvl w:val="0"/>
          <w:numId w:val="0"/>
        </w:numPr>
        <w:rPr>
          <w:lang w:val="fr-BE"/>
        </w:rPr>
      </w:pPr>
      <w:r w:rsidRPr="0E13256C">
        <w:rPr>
          <w:lang w:val="fr-BE"/>
        </w:rPr>
        <w:t>L</w:t>
      </w:r>
      <w:r w:rsidR="0095509D" w:rsidRPr="0E13256C">
        <w:rPr>
          <w:lang w:val="fr-BE"/>
        </w:rPr>
        <w:t xml:space="preserve">es </w:t>
      </w:r>
      <w:r w:rsidRPr="0E13256C">
        <w:rPr>
          <w:lang w:val="fr-BE"/>
        </w:rPr>
        <w:t>élément</w:t>
      </w:r>
      <w:r w:rsidR="0095509D" w:rsidRPr="0E13256C">
        <w:rPr>
          <w:lang w:val="fr-BE"/>
        </w:rPr>
        <w:t>s</w:t>
      </w:r>
      <w:r w:rsidRPr="0E13256C">
        <w:rPr>
          <w:lang w:val="fr-BE"/>
        </w:rPr>
        <w:t xml:space="preserve"> de liaison se compose</w:t>
      </w:r>
      <w:r w:rsidR="0095509D" w:rsidRPr="0E13256C">
        <w:rPr>
          <w:lang w:val="fr-BE"/>
        </w:rPr>
        <w:t>nt</w:t>
      </w:r>
      <w:r w:rsidRPr="0E13256C">
        <w:rPr>
          <w:lang w:val="fr-BE"/>
        </w:rPr>
        <w:t xml:space="preserve"> d’un corps en acier inoxydable (1.4301) équipé d’une plaque de fixation/d’étanchéité </w:t>
      </w:r>
      <w:r w:rsidR="7F1923E6" w:rsidRPr="0E13256C">
        <w:rPr>
          <w:lang w:val="fr-BE"/>
        </w:rPr>
        <w:t>intégrée</w:t>
      </w:r>
      <w:r w:rsidRPr="0E13256C">
        <w:rPr>
          <w:lang w:val="fr-BE"/>
        </w:rPr>
        <w:t>, d’un joint en EPDM, d’un anneau barbelé, d’un tuyau de raccordement en PE</w:t>
      </w:r>
      <w:r w:rsidR="00252558" w:rsidRPr="0E13256C">
        <w:rPr>
          <w:lang w:val="fr-BE"/>
        </w:rPr>
        <w:t>-HD</w:t>
      </w:r>
      <w:r w:rsidRPr="0E13256C">
        <w:rPr>
          <w:lang w:val="fr-BE"/>
        </w:rPr>
        <w:t xml:space="preserve"> de diamètre </w:t>
      </w:r>
      <w:r w:rsidR="00727867" w:rsidRPr="0E13256C">
        <w:rPr>
          <w:lang w:val="fr-BE"/>
        </w:rPr>
        <w:t>56 mm o</w:t>
      </w:r>
      <w:r w:rsidRPr="0E13256C">
        <w:rPr>
          <w:lang w:val="fr-BE"/>
        </w:rPr>
        <w:t xml:space="preserve">u </w:t>
      </w:r>
      <w:r w:rsidR="00727867" w:rsidRPr="0E13256C">
        <w:rPr>
          <w:lang w:val="fr-BE"/>
        </w:rPr>
        <w:t>90 mm (</w:t>
      </w:r>
      <w:r w:rsidRPr="0E13256C">
        <w:rPr>
          <w:lang w:val="fr-BE"/>
        </w:rPr>
        <w:t>conforme à l’entonnoir supérieure</w:t>
      </w:r>
      <w:r w:rsidR="00727867" w:rsidRPr="0E13256C">
        <w:rPr>
          <w:lang w:val="fr-BE"/>
        </w:rPr>
        <w:t xml:space="preserve">), </w:t>
      </w:r>
      <w:r w:rsidRPr="0E13256C">
        <w:rPr>
          <w:lang w:val="fr-BE"/>
        </w:rPr>
        <w:t xml:space="preserve">et d’un élément isolant. </w:t>
      </w:r>
    </w:p>
    <w:p w14:paraId="0D0B940D" w14:textId="77777777" w:rsidR="00AD49F6" w:rsidRPr="00AD49F6" w:rsidRDefault="00AD49F6" w:rsidP="00AD49F6">
      <w:pPr>
        <w:pStyle w:val="Bulleted2"/>
        <w:numPr>
          <w:ilvl w:val="0"/>
          <w:numId w:val="0"/>
        </w:numPr>
        <w:rPr>
          <w:lang w:val="fr-FR"/>
        </w:rPr>
      </w:pPr>
    </w:p>
    <w:p w14:paraId="5E24B72D" w14:textId="77777777" w:rsidR="000B7E65" w:rsidRDefault="00AD49F6" w:rsidP="00727867">
      <w:pPr>
        <w:pStyle w:val="Bulleted2"/>
        <w:numPr>
          <w:ilvl w:val="0"/>
          <w:numId w:val="0"/>
        </w:numPr>
        <w:rPr>
          <w:lang w:val="fr-BE"/>
        </w:rPr>
      </w:pPr>
      <w:r w:rsidRPr="00AD49F6">
        <w:rPr>
          <w:lang w:val="fr-FR"/>
        </w:rPr>
        <w:t>Le tuyau de raccordement de l’entonnoir est emboité dans l’élément de liaison et retenu par l’anneau barbelé</w:t>
      </w:r>
      <w:r w:rsidR="00727867" w:rsidRPr="00AD49F6">
        <w:rPr>
          <w:lang w:val="fr-BE"/>
        </w:rPr>
        <w:t>.</w:t>
      </w:r>
    </w:p>
    <w:p w14:paraId="25B02593" w14:textId="77777777" w:rsidR="005E2141" w:rsidRDefault="005E2141" w:rsidP="00727867">
      <w:pPr>
        <w:pStyle w:val="Bulleted2"/>
        <w:numPr>
          <w:ilvl w:val="0"/>
          <w:numId w:val="0"/>
        </w:numPr>
        <w:rPr>
          <w:lang w:val="fr-BE"/>
        </w:rPr>
      </w:pPr>
    </w:p>
    <w:p w14:paraId="5DD7D375" w14:textId="77777777" w:rsidR="005E2141" w:rsidRDefault="005E2141" w:rsidP="00727867">
      <w:pPr>
        <w:pStyle w:val="Bulleted2"/>
        <w:numPr>
          <w:ilvl w:val="0"/>
          <w:numId w:val="0"/>
        </w:numPr>
        <w:rPr>
          <w:lang w:val="fr-BE"/>
        </w:rPr>
      </w:pPr>
    </w:p>
    <w:p w14:paraId="6D499FD7" w14:textId="77777777" w:rsidR="005E2141" w:rsidRPr="00AD49F6" w:rsidRDefault="005E2141" w:rsidP="00727867">
      <w:pPr>
        <w:pStyle w:val="Bulleted2"/>
        <w:numPr>
          <w:ilvl w:val="0"/>
          <w:numId w:val="0"/>
        </w:numPr>
        <w:rPr>
          <w:lang w:val="fr-BE"/>
        </w:rPr>
      </w:pPr>
    </w:p>
    <w:p w14:paraId="12202432" w14:textId="77777777" w:rsidR="00727867" w:rsidRPr="0095509D" w:rsidRDefault="0095509D" w:rsidP="00727867">
      <w:pPr>
        <w:pStyle w:val="Bulleted2"/>
        <w:numPr>
          <w:ilvl w:val="2"/>
          <w:numId w:val="18"/>
        </w:numPr>
        <w:spacing w:before="240" w:after="240"/>
        <w:ind w:left="737" w:hanging="737"/>
        <w:rPr>
          <w:lang w:val="fr-BE"/>
        </w:rPr>
      </w:pPr>
      <w:r>
        <w:rPr>
          <w:lang w:val="fr-BE"/>
        </w:rPr>
        <w:lastRenderedPageBreak/>
        <w:t>Inserts</w:t>
      </w:r>
      <w:r w:rsidRPr="0095509D">
        <w:rPr>
          <w:lang w:val="fr-BE"/>
        </w:rPr>
        <w:t xml:space="preserve"> pour t</w:t>
      </w:r>
      <w:r>
        <w:rPr>
          <w:lang w:val="fr-BE"/>
        </w:rPr>
        <w:t>rop-plein</w:t>
      </w:r>
    </w:p>
    <w:p w14:paraId="44EAFD9C" w14:textId="1B49F34F" w:rsidR="001718D0" w:rsidRPr="006166A2" w:rsidRDefault="0095509D" w:rsidP="00727867">
      <w:pPr>
        <w:pStyle w:val="Bulleted2"/>
        <w:numPr>
          <w:ilvl w:val="0"/>
          <w:numId w:val="0"/>
        </w:numPr>
        <w:rPr>
          <w:lang w:val="fr-BE"/>
        </w:rPr>
      </w:pPr>
      <w:r w:rsidRPr="0095509D">
        <w:rPr>
          <w:lang w:val="fr-BE"/>
        </w:rPr>
        <w:t>Les entonnoirs Pluvia du système de sécurité trop-plein sont munis d’un insert trop-plein, approprié au type d’entonnoir.</w:t>
      </w:r>
    </w:p>
    <w:p w14:paraId="34F1CCCA" w14:textId="77777777" w:rsidR="00FD410F" w:rsidRPr="00D06139" w:rsidRDefault="001718D0" w:rsidP="00FD410F">
      <w:pPr>
        <w:pStyle w:val="Heading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F747F8F" w14:textId="77777777" w:rsidR="00FD410F" w:rsidRPr="001718D0" w:rsidRDefault="001718D0" w:rsidP="00FD410F">
      <w:pPr>
        <w:pStyle w:val="Bulleted2"/>
        <w:numPr>
          <w:ilvl w:val="0"/>
          <w:numId w:val="0"/>
        </w:numPr>
        <w:rPr>
          <w:lang w:val="fr-BE"/>
        </w:rPr>
      </w:pPr>
      <w:r w:rsidRPr="001718D0">
        <w:rPr>
          <w:lang w:val="fr-BE"/>
        </w:rPr>
        <w:t>Selon les directives du fabricant</w:t>
      </w:r>
      <w:r w:rsidR="00FD410F" w:rsidRPr="001718D0">
        <w:rPr>
          <w:lang w:val="fr-BE"/>
        </w:rPr>
        <w:t>.</w:t>
      </w:r>
    </w:p>
    <w:p w14:paraId="4B94D5A5" w14:textId="77777777" w:rsidR="00FD410F" w:rsidRPr="001718D0" w:rsidRDefault="00FD410F" w:rsidP="00FD410F">
      <w:pPr>
        <w:pStyle w:val="Bulleted2"/>
        <w:numPr>
          <w:ilvl w:val="0"/>
          <w:numId w:val="0"/>
        </w:numPr>
        <w:rPr>
          <w:lang w:val="fr-BE"/>
        </w:rPr>
      </w:pPr>
    </w:p>
    <w:p w14:paraId="7071128C" w14:textId="77777777" w:rsidR="00FD410F" w:rsidRPr="001718D0" w:rsidRDefault="001718D0" w:rsidP="00FD410F">
      <w:pPr>
        <w:pStyle w:val="Bulleted2"/>
        <w:numPr>
          <w:ilvl w:val="0"/>
          <w:numId w:val="0"/>
        </w:numPr>
        <w:rPr>
          <w:lang w:val="fr-BE"/>
        </w:rPr>
      </w:pPr>
      <w:r w:rsidRPr="001718D0">
        <w:rPr>
          <w:lang w:val="fr-BE"/>
        </w:rPr>
        <w:t xml:space="preserve">Les tuyaux, les raccords et les </w:t>
      </w:r>
      <w:r>
        <w:rPr>
          <w:lang w:val="fr-BE"/>
        </w:rPr>
        <w:t>entonnoirs</w:t>
      </w:r>
      <w:r w:rsidRPr="001718D0">
        <w:rPr>
          <w:lang w:val="fr-BE"/>
        </w:rPr>
        <w:t xml:space="preserve"> sont du même fabricant</w:t>
      </w:r>
      <w:r>
        <w:rPr>
          <w:lang w:val="fr-BE"/>
        </w:rPr>
        <w:t>.</w:t>
      </w:r>
    </w:p>
    <w:p w14:paraId="3F229CF3" w14:textId="77777777" w:rsidR="00FD410F" w:rsidRPr="001718D0" w:rsidRDefault="00FD410F" w:rsidP="00FD410F">
      <w:pPr>
        <w:pStyle w:val="Heading1"/>
        <w:spacing w:before="240"/>
        <w:rPr>
          <w:rFonts w:ascii="Arial" w:hAnsi="Arial"/>
          <w:b/>
          <w:lang w:val="fr-BE"/>
        </w:rPr>
      </w:pPr>
      <w:r w:rsidRPr="001718D0">
        <w:rPr>
          <w:rFonts w:ascii="Arial" w:hAnsi="Arial"/>
          <w:b/>
          <w:lang w:val="fr-BE"/>
        </w:rPr>
        <w:t>Certificati</w:t>
      </w:r>
      <w:r w:rsidR="001718D0">
        <w:rPr>
          <w:rFonts w:ascii="Arial" w:hAnsi="Arial"/>
          <w:b/>
          <w:lang w:val="fr-BE"/>
        </w:rPr>
        <w:t>on</w:t>
      </w:r>
    </w:p>
    <w:p w14:paraId="737D2160" w14:textId="77777777" w:rsidR="008A5169" w:rsidRPr="001718D0" w:rsidRDefault="001718D0" w:rsidP="0069129C">
      <w:pPr>
        <w:pStyle w:val="Bulleted2"/>
        <w:numPr>
          <w:ilvl w:val="0"/>
          <w:numId w:val="0"/>
        </w:numPr>
        <w:rPr>
          <w:lang w:val="fr-BE"/>
        </w:rPr>
      </w:pPr>
      <w:r w:rsidRPr="001718D0">
        <w:rPr>
          <w:lang w:val="fr-BE"/>
        </w:rPr>
        <w:t>Le système satisfait aux exigences de l’UBatc et dispose d’un agrément technique avec certificat (ATG</w:t>
      </w:r>
      <w:r w:rsidR="00FD410F" w:rsidRPr="001718D0">
        <w:rPr>
          <w:lang w:val="fr-BE"/>
        </w:rPr>
        <w:t>).</w:t>
      </w:r>
    </w:p>
    <w:sectPr w:rsidR="008A5169" w:rsidRPr="001718D0" w:rsidSect="0069129C">
      <w:headerReference w:type="default" r:id="rId10"/>
      <w:footerReference w:type="default" r:id="rId11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EAC81" w14:textId="77777777" w:rsidR="00D63AD3" w:rsidRDefault="00D63AD3">
      <w:r>
        <w:separator/>
      </w:r>
    </w:p>
  </w:endnote>
  <w:endnote w:type="continuationSeparator" w:id="0">
    <w:p w14:paraId="3A2912B2" w14:textId="77777777" w:rsidR="00D63AD3" w:rsidRDefault="00D6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5BFBC905" w14:textId="77777777">
      <w:tc>
        <w:tcPr>
          <w:tcW w:w="3392" w:type="dxa"/>
        </w:tcPr>
        <w:p w14:paraId="5906F2F7" w14:textId="5DB60767" w:rsidR="00025544" w:rsidRPr="00D06139" w:rsidRDefault="0069129C" w:rsidP="003242F8">
          <w:pPr>
            <w:pStyle w:val="Footer"/>
            <w:rPr>
              <w:rFonts w:cs="Arial"/>
            </w:rPr>
          </w:pPr>
          <w:r w:rsidRPr="005E2141">
            <w:rPr>
              <w:rFonts w:cs="Arial"/>
            </w:rPr>
            <w:t>versi</w:t>
          </w:r>
          <w:r w:rsidR="006166A2" w:rsidRPr="005E2141">
            <w:rPr>
              <w:rFonts w:cs="Arial"/>
            </w:rPr>
            <w:t>on</w:t>
          </w:r>
          <w:r w:rsidRPr="005E2141">
            <w:rPr>
              <w:rFonts w:cs="Arial"/>
            </w:rPr>
            <w:t xml:space="preserve"> </w:t>
          </w:r>
          <w:r w:rsidR="00444B9B" w:rsidRPr="005E2141">
            <w:rPr>
              <w:rFonts w:cs="Arial"/>
            </w:rPr>
            <w:t>2.</w:t>
          </w:r>
          <w:r w:rsidR="002F506D" w:rsidRPr="005E2141">
            <w:rPr>
              <w:rFonts w:cs="Arial"/>
            </w:rPr>
            <w:t>2</w:t>
          </w:r>
        </w:p>
      </w:tc>
      <w:tc>
        <w:tcPr>
          <w:tcW w:w="3392" w:type="dxa"/>
        </w:tcPr>
        <w:p w14:paraId="18570475" w14:textId="77777777" w:rsidR="00025544" w:rsidRPr="00D06139" w:rsidRDefault="006166A2">
          <w:pPr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cahier de charges</w:t>
          </w:r>
        </w:p>
      </w:tc>
      <w:tc>
        <w:tcPr>
          <w:tcW w:w="3392" w:type="dxa"/>
        </w:tcPr>
        <w:p w14:paraId="11744CEB" w14:textId="77777777" w:rsidR="00025544" w:rsidRPr="00D06139" w:rsidRDefault="00025544" w:rsidP="00272819">
          <w:pPr>
            <w:pStyle w:val="Footer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4B99056E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729E" w14:textId="77777777" w:rsidR="00D63AD3" w:rsidRDefault="00D63AD3">
      <w:r>
        <w:separator/>
      </w:r>
    </w:p>
  </w:footnote>
  <w:footnote w:type="continuationSeparator" w:id="0">
    <w:p w14:paraId="4B583849" w14:textId="77777777" w:rsidR="00D63AD3" w:rsidRDefault="00D63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F12A" w14:textId="77777777" w:rsidR="00025544" w:rsidRPr="008A5169" w:rsidRDefault="00025544" w:rsidP="00080B0F">
    <w:pPr>
      <w:pStyle w:val="Header"/>
      <w:rPr>
        <w:rFonts w:ascii="Arial" w:hAnsi="Arial" w:cs="Arial"/>
        <w:b/>
        <w:szCs w:val="24"/>
      </w:rPr>
    </w:pPr>
    <w:r w:rsidRPr="00D06139">
      <w:rPr>
        <w:rFonts w:ascii="Arial" w:hAnsi="Arial" w:cs="Arial"/>
        <w:b/>
      </w:rPr>
      <w:t xml:space="preserve">Geberit </w:t>
    </w:r>
    <w:r w:rsidR="00902F49">
      <w:rPr>
        <w:rFonts w:ascii="Arial" w:hAnsi="Arial" w:cs="Arial"/>
        <w:b/>
      </w:rPr>
      <w:t>Pluvia</w:t>
    </w:r>
    <w:r w:rsidR="007653FE">
      <w:rPr>
        <w:rFonts w:ascii="Arial" w:hAnsi="Arial" w:cs="Arial"/>
      </w:rPr>
      <w:tab/>
    </w:r>
    <w:r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3D2464F0" wp14:editId="07777777">
          <wp:extent cx="1003300" cy="1460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4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x1UlDW/DkWvNa" int2:id="LDgRI1UK">
      <int2:state int2:value="Rejected" int2:type="AugLoop_Text_Critique"/>
    </int2:textHash>
    <int2:textHash int2:hashCode="wNwaD6Lj2JxPfJ" int2:id="Ye38jbvF">
      <int2:state int2:value="Rejected" int2:type="AugLoop_Text_Critique"/>
    </int2:textHash>
    <int2:textHash int2:hashCode="0tWM/2dCZzC3E5" int2:id="0nO7m582">
      <int2:state int2:value="Rejected" int2:type="AugLoop_Text_Critique"/>
    </int2:textHash>
    <int2:textHash int2:hashCode="1hV7vOxwQoa3B2" int2:id="EdoVvDP4">
      <int2:state int2:value="Rejected" int2:type="AugLoop_Text_Critique"/>
    </int2:textHash>
    <int2:textHash int2:hashCode="yzKRRqDdDVZrBi" int2:id="yymXLMDV">
      <int2:state int2:value="Rejected" int2:type="AugLoop_Text_Critique"/>
    </int2:textHash>
    <int2:textHash int2:hashCode="OxugAd4/sg6Oz6" int2:id="Kw3nxuu9">
      <int2:state int2:value="Rejected" int2:type="AugLoop_Text_Critique"/>
    </int2:textHash>
    <int2:textHash int2:hashCode="+LY5w8KRK3KARJ" int2:id="g1mBgv0L">
      <int2:state int2:value="Rejected" int2:type="AugLoop_Text_Critique"/>
    </int2:textHash>
    <int2:textHash int2:hashCode="YkLj1MopIyCtME" int2:id="2svyCDwW">
      <int2:state int2:value="Rejected" int2:type="AugLoop_Text_Critique"/>
    </int2:textHash>
    <int2:textHash int2:hashCode="6SPkTsZ2/7A002" int2:id="uJL6ggrS">
      <int2:state int2:value="Rejected" int2:type="AugLoop_Text_Critique"/>
    </int2:textHash>
    <int2:textHash int2:hashCode="yUAeDV9jXS1CQI" int2:id="oYoBRtve">
      <int2:state int2:value="Rejected" int2:type="AugLoop_Text_Critique"/>
    </int2:textHash>
    <int2:textHash int2:hashCode="W29KLhD7axiG6b" int2:id="wwL6ElOA">
      <int2:state int2:value="Rejected" int2:type="AugLoop_Text_Critique"/>
    </int2:textHash>
    <int2:textHash int2:hashCode="uFz5SbWnLJQbZk" int2:id="c8YJhhgs">
      <int2:state int2:value="Rejected" int2:type="AugLoop_Text_Critique"/>
    </int2:textHash>
    <int2:textHash int2:hashCode="e+xZvyoLBuAuZI" int2:id="bRqI16X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E896DE9"/>
    <w:multiLevelType w:val="hybridMultilevel"/>
    <w:tmpl w:val="124EAC04"/>
    <w:lvl w:ilvl="0" w:tplc="745C73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FFE4CAF"/>
    <w:multiLevelType w:val="multilevel"/>
    <w:tmpl w:val="926EF29A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5546706">
    <w:abstractNumId w:val="18"/>
  </w:num>
  <w:num w:numId="2" w16cid:durableId="165830358">
    <w:abstractNumId w:val="25"/>
  </w:num>
  <w:num w:numId="3" w16cid:durableId="57360520">
    <w:abstractNumId w:val="4"/>
  </w:num>
  <w:num w:numId="4" w16cid:durableId="371153006">
    <w:abstractNumId w:val="3"/>
  </w:num>
  <w:num w:numId="5" w16cid:durableId="1047993672">
    <w:abstractNumId w:val="14"/>
  </w:num>
  <w:num w:numId="6" w16cid:durableId="538132082">
    <w:abstractNumId w:val="16"/>
  </w:num>
  <w:num w:numId="7" w16cid:durableId="27992753">
    <w:abstractNumId w:val="6"/>
  </w:num>
  <w:num w:numId="8" w16cid:durableId="1009678053">
    <w:abstractNumId w:val="22"/>
  </w:num>
  <w:num w:numId="9" w16cid:durableId="1771122217">
    <w:abstractNumId w:val="28"/>
  </w:num>
  <w:num w:numId="10" w16cid:durableId="1011488066">
    <w:abstractNumId w:val="2"/>
  </w:num>
  <w:num w:numId="11" w16cid:durableId="175656290">
    <w:abstractNumId w:val="13"/>
  </w:num>
  <w:num w:numId="12" w16cid:durableId="159200266">
    <w:abstractNumId w:val="12"/>
  </w:num>
  <w:num w:numId="13" w16cid:durableId="2007904864">
    <w:abstractNumId w:val="27"/>
  </w:num>
  <w:num w:numId="14" w16cid:durableId="1824004472">
    <w:abstractNumId w:val="8"/>
  </w:num>
  <w:num w:numId="15" w16cid:durableId="135149744">
    <w:abstractNumId w:val="0"/>
  </w:num>
  <w:num w:numId="16" w16cid:durableId="434398401">
    <w:abstractNumId w:val="11"/>
  </w:num>
  <w:num w:numId="17" w16cid:durableId="616645759">
    <w:abstractNumId w:val="5"/>
  </w:num>
  <w:num w:numId="18" w16cid:durableId="345182317">
    <w:abstractNumId w:val="23"/>
  </w:num>
  <w:num w:numId="19" w16cid:durableId="519009799">
    <w:abstractNumId w:val="24"/>
  </w:num>
  <w:num w:numId="20" w16cid:durableId="651712489">
    <w:abstractNumId w:val="20"/>
  </w:num>
  <w:num w:numId="21" w16cid:durableId="470170510">
    <w:abstractNumId w:val="19"/>
  </w:num>
  <w:num w:numId="22" w16cid:durableId="915434811">
    <w:abstractNumId w:val="15"/>
  </w:num>
  <w:num w:numId="23" w16cid:durableId="816461185">
    <w:abstractNumId w:val="26"/>
  </w:num>
  <w:num w:numId="24" w16cid:durableId="822769418">
    <w:abstractNumId w:val="9"/>
  </w:num>
  <w:num w:numId="25" w16cid:durableId="2008052777">
    <w:abstractNumId w:val="10"/>
  </w:num>
  <w:num w:numId="26" w16cid:durableId="1221793365">
    <w:abstractNumId w:val="1"/>
  </w:num>
  <w:num w:numId="27" w16cid:durableId="809975406">
    <w:abstractNumId w:val="17"/>
  </w:num>
  <w:num w:numId="28" w16cid:durableId="920142030">
    <w:abstractNumId w:val="7"/>
  </w:num>
  <w:num w:numId="29" w16cid:durableId="10284462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221DA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5470"/>
    <w:rsid w:val="00045D39"/>
    <w:rsid w:val="00046B13"/>
    <w:rsid w:val="00046FF8"/>
    <w:rsid w:val="00052506"/>
    <w:rsid w:val="000525A3"/>
    <w:rsid w:val="00052701"/>
    <w:rsid w:val="00056B2E"/>
    <w:rsid w:val="0006122F"/>
    <w:rsid w:val="0006259B"/>
    <w:rsid w:val="0006365A"/>
    <w:rsid w:val="00065AA1"/>
    <w:rsid w:val="00065BC4"/>
    <w:rsid w:val="00080B0F"/>
    <w:rsid w:val="00081315"/>
    <w:rsid w:val="00085A0C"/>
    <w:rsid w:val="00086176"/>
    <w:rsid w:val="00086920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B7E65"/>
    <w:rsid w:val="000C46F3"/>
    <w:rsid w:val="000C4F0B"/>
    <w:rsid w:val="000D382A"/>
    <w:rsid w:val="000D6AFB"/>
    <w:rsid w:val="000E19F8"/>
    <w:rsid w:val="000E6962"/>
    <w:rsid w:val="000E6FC3"/>
    <w:rsid w:val="000E7512"/>
    <w:rsid w:val="000F669E"/>
    <w:rsid w:val="00100229"/>
    <w:rsid w:val="00101998"/>
    <w:rsid w:val="00107F2A"/>
    <w:rsid w:val="0011603A"/>
    <w:rsid w:val="001165B1"/>
    <w:rsid w:val="001171EF"/>
    <w:rsid w:val="00126342"/>
    <w:rsid w:val="0013316F"/>
    <w:rsid w:val="00140C45"/>
    <w:rsid w:val="001477B0"/>
    <w:rsid w:val="00153C00"/>
    <w:rsid w:val="001548B8"/>
    <w:rsid w:val="001713AD"/>
    <w:rsid w:val="001718D0"/>
    <w:rsid w:val="00186A4B"/>
    <w:rsid w:val="001879EF"/>
    <w:rsid w:val="00193583"/>
    <w:rsid w:val="001A794D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206862"/>
    <w:rsid w:val="00216DB4"/>
    <w:rsid w:val="0022211E"/>
    <w:rsid w:val="00224FBC"/>
    <w:rsid w:val="0023231B"/>
    <w:rsid w:val="002366E2"/>
    <w:rsid w:val="002427CC"/>
    <w:rsid w:val="00252558"/>
    <w:rsid w:val="00252619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C01C4"/>
    <w:rsid w:val="002D1B7A"/>
    <w:rsid w:val="002D237E"/>
    <w:rsid w:val="002D2E09"/>
    <w:rsid w:val="002D339E"/>
    <w:rsid w:val="002D45A0"/>
    <w:rsid w:val="002D6274"/>
    <w:rsid w:val="002E256E"/>
    <w:rsid w:val="002E33C0"/>
    <w:rsid w:val="002F3E07"/>
    <w:rsid w:val="002F420F"/>
    <w:rsid w:val="002F4D3E"/>
    <w:rsid w:val="002F506D"/>
    <w:rsid w:val="002F50E9"/>
    <w:rsid w:val="002F5BDA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55C04"/>
    <w:rsid w:val="00364BAB"/>
    <w:rsid w:val="0036662E"/>
    <w:rsid w:val="00366E6E"/>
    <w:rsid w:val="003672BE"/>
    <w:rsid w:val="0037215B"/>
    <w:rsid w:val="00374FF7"/>
    <w:rsid w:val="003815A1"/>
    <w:rsid w:val="00383F7C"/>
    <w:rsid w:val="0038493C"/>
    <w:rsid w:val="00386723"/>
    <w:rsid w:val="00387D05"/>
    <w:rsid w:val="0039328A"/>
    <w:rsid w:val="003B0C24"/>
    <w:rsid w:val="003C146E"/>
    <w:rsid w:val="003C209B"/>
    <w:rsid w:val="003D02D6"/>
    <w:rsid w:val="003D14DA"/>
    <w:rsid w:val="003D33B1"/>
    <w:rsid w:val="003D3AAD"/>
    <w:rsid w:val="003D62A2"/>
    <w:rsid w:val="003E022F"/>
    <w:rsid w:val="003E0B74"/>
    <w:rsid w:val="003F34B4"/>
    <w:rsid w:val="003F4CCC"/>
    <w:rsid w:val="003F4D6F"/>
    <w:rsid w:val="00402216"/>
    <w:rsid w:val="0041232B"/>
    <w:rsid w:val="00412A49"/>
    <w:rsid w:val="00415341"/>
    <w:rsid w:val="004164C8"/>
    <w:rsid w:val="00416879"/>
    <w:rsid w:val="00416D32"/>
    <w:rsid w:val="00417301"/>
    <w:rsid w:val="00425F16"/>
    <w:rsid w:val="00430F34"/>
    <w:rsid w:val="0043544C"/>
    <w:rsid w:val="00440CA1"/>
    <w:rsid w:val="00440E74"/>
    <w:rsid w:val="00444B9B"/>
    <w:rsid w:val="00447003"/>
    <w:rsid w:val="004474FA"/>
    <w:rsid w:val="00452B5C"/>
    <w:rsid w:val="004539AA"/>
    <w:rsid w:val="00455E90"/>
    <w:rsid w:val="004566A8"/>
    <w:rsid w:val="00462A81"/>
    <w:rsid w:val="004638F2"/>
    <w:rsid w:val="004705EE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A6E13"/>
    <w:rsid w:val="004B51F8"/>
    <w:rsid w:val="004D015F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23215"/>
    <w:rsid w:val="00532AC1"/>
    <w:rsid w:val="00535D6A"/>
    <w:rsid w:val="00540609"/>
    <w:rsid w:val="00540DBE"/>
    <w:rsid w:val="00541A22"/>
    <w:rsid w:val="005449E5"/>
    <w:rsid w:val="00551608"/>
    <w:rsid w:val="00554BF5"/>
    <w:rsid w:val="00557F6C"/>
    <w:rsid w:val="00564C24"/>
    <w:rsid w:val="00567B63"/>
    <w:rsid w:val="00577550"/>
    <w:rsid w:val="00580E2C"/>
    <w:rsid w:val="00584014"/>
    <w:rsid w:val="00585783"/>
    <w:rsid w:val="00585883"/>
    <w:rsid w:val="005928F6"/>
    <w:rsid w:val="005946D1"/>
    <w:rsid w:val="005A1279"/>
    <w:rsid w:val="005A134F"/>
    <w:rsid w:val="005A3712"/>
    <w:rsid w:val="005A687F"/>
    <w:rsid w:val="005B0D0E"/>
    <w:rsid w:val="005C40C8"/>
    <w:rsid w:val="005C419B"/>
    <w:rsid w:val="005C6CB1"/>
    <w:rsid w:val="005C7B14"/>
    <w:rsid w:val="005D45E4"/>
    <w:rsid w:val="005D7C6A"/>
    <w:rsid w:val="005E2141"/>
    <w:rsid w:val="005E4015"/>
    <w:rsid w:val="005E7DC9"/>
    <w:rsid w:val="005F35C3"/>
    <w:rsid w:val="005F6790"/>
    <w:rsid w:val="0060242F"/>
    <w:rsid w:val="00613F6D"/>
    <w:rsid w:val="006156AD"/>
    <w:rsid w:val="006166A2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4C89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5B7E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7C5F"/>
    <w:rsid w:val="006D2489"/>
    <w:rsid w:val="006D7788"/>
    <w:rsid w:val="006E0062"/>
    <w:rsid w:val="006E4D48"/>
    <w:rsid w:val="006F5EDD"/>
    <w:rsid w:val="006F727D"/>
    <w:rsid w:val="00710BEF"/>
    <w:rsid w:val="00712C19"/>
    <w:rsid w:val="007221BB"/>
    <w:rsid w:val="00722206"/>
    <w:rsid w:val="00722285"/>
    <w:rsid w:val="00724501"/>
    <w:rsid w:val="00727867"/>
    <w:rsid w:val="00730B29"/>
    <w:rsid w:val="00735DE7"/>
    <w:rsid w:val="00756D47"/>
    <w:rsid w:val="00763281"/>
    <w:rsid w:val="007653FE"/>
    <w:rsid w:val="00765916"/>
    <w:rsid w:val="00766F1D"/>
    <w:rsid w:val="00767500"/>
    <w:rsid w:val="00767AB8"/>
    <w:rsid w:val="00771E82"/>
    <w:rsid w:val="00776DF5"/>
    <w:rsid w:val="00777F6E"/>
    <w:rsid w:val="00782661"/>
    <w:rsid w:val="00785436"/>
    <w:rsid w:val="00791D28"/>
    <w:rsid w:val="00793B02"/>
    <w:rsid w:val="00797007"/>
    <w:rsid w:val="007A0832"/>
    <w:rsid w:val="007A2D3C"/>
    <w:rsid w:val="007A3630"/>
    <w:rsid w:val="007A4785"/>
    <w:rsid w:val="007A6482"/>
    <w:rsid w:val="007A6E5C"/>
    <w:rsid w:val="007A737D"/>
    <w:rsid w:val="007B0B94"/>
    <w:rsid w:val="007B328A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BDE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82212"/>
    <w:rsid w:val="008838BE"/>
    <w:rsid w:val="0089797D"/>
    <w:rsid w:val="008A4182"/>
    <w:rsid w:val="008A4C19"/>
    <w:rsid w:val="008A5169"/>
    <w:rsid w:val="008A666A"/>
    <w:rsid w:val="008B2655"/>
    <w:rsid w:val="008B4545"/>
    <w:rsid w:val="008B4F72"/>
    <w:rsid w:val="008B5A11"/>
    <w:rsid w:val="008B6BB6"/>
    <w:rsid w:val="008D0447"/>
    <w:rsid w:val="008F0D14"/>
    <w:rsid w:val="008F348A"/>
    <w:rsid w:val="009022A5"/>
    <w:rsid w:val="0090283D"/>
    <w:rsid w:val="0090294B"/>
    <w:rsid w:val="00902F49"/>
    <w:rsid w:val="0091479D"/>
    <w:rsid w:val="00923A7F"/>
    <w:rsid w:val="00924A9D"/>
    <w:rsid w:val="00925FEE"/>
    <w:rsid w:val="009336C3"/>
    <w:rsid w:val="009341BA"/>
    <w:rsid w:val="009365DB"/>
    <w:rsid w:val="00936883"/>
    <w:rsid w:val="0094033B"/>
    <w:rsid w:val="00940ACD"/>
    <w:rsid w:val="00943315"/>
    <w:rsid w:val="00944646"/>
    <w:rsid w:val="0094611A"/>
    <w:rsid w:val="009468B8"/>
    <w:rsid w:val="0095509D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94181"/>
    <w:rsid w:val="009A12A9"/>
    <w:rsid w:val="009A26B4"/>
    <w:rsid w:val="009A6B3D"/>
    <w:rsid w:val="009B041E"/>
    <w:rsid w:val="009B2D45"/>
    <w:rsid w:val="009B3DB4"/>
    <w:rsid w:val="009C090D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04040"/>
    <w:rsid w:val="00A20762"/>
    <w:rsid w:val="00A2142F"/>
    <w:rsid w:val="00A44868"/>
    <w:rsid w:val="00A45E60"/>
    <w:rsid w:val="00A50286"/>
    <w:rsid w:val="00A52E7D"/>
    <w:rsid w:val="00A538E0"/>
    <w:rsid w:val="00A55C79"/>
    <w:rsid w:val="00A57713"/>
    <w:rsid w:val="00A57FA2"/>
    <w:rsid w:val="00A64150"/>
    <w:rsid w:val="00A70DD0"/>
    <w:rsid w:val="00A7152B"/>
    <w:rsid w:val="00A72BCA"/>
    <w:rsid w:val="00A76DD7"/>
    <w:rsid w:val="00A774E9"/>
    <w:rsid w:val="00A80365"/>
    <w:rsid w:val="00A80829"/>
    <w:rsid w:val="00A81424"/>
    <w:rsid w:val="00A84CD2"/>
    <w:rsid w:val="00A8557D"/>
    <w:rsid w:val="00A867F5"/>
    <w:rsid w:val="00A918C5"/>
    <w:rsid w:val="00A97B53"/>
    <w:rsid w:val="00AA13C8"/>
    <w:rsid w:val="00AB6EEB"/>
    <w:rsid w:val="00AD2BCF"/>
    <w:rsid w:val="00AD3FEE"/>
    <w:rsid w:val="00AD49F6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2492"/>
    <w:rsid w:val="00B43FB0"/>
    <w:rsid w:val="00B47BE9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62A"/>
    <w:rsid w:val="00BB5D16"/>
    <w:rsid w:val="00BC022E"/>
    <w:rsid w:val="00BC05F8"/>
    <w:rsid w:val="00BC2DA3"/>
    <w:rsid w:val="00BC4952"/>
    <w:rsid w:val="00BC68FC"/>
    <w:rsid w:val="00BC75A7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562F"/>
    <w:rsid w:val="00C31094"/>
    <w:rsid w:val="00C33518"/>
    <w:rsid w:val="00C345FE"/>
    <w:rsid w:val="00C40CF8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262B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B7"/>
    <w:rsid w:val="00CF3034"/>
    <w:rsid w:val="00D00737"/>
    <w:rsid w:val="00D06139"/>
    <w:rsid w:val="00D12DE4"/>
    <w:rsid w:val="00D147B6"/>
    <w:rsid w:val="00D20CBB"/>
    <w:rsid w:val="00D32AB0"/>
    <w:rsid w:val="00D3323A"/>
    <w:rsid w:val="00D34091"/>
    <w:rsid w:val="00D3791B"/>
    <w:rsid w:val="00D41906"/>
    <w:rsid w:val="00D43AAD"/>
    <w:rsid w:val="00D43B9F"/>
    <w:rsid w:val="00D4463B"/>
    <w:rsid w:val="00D4472F"/>
    <w:rsid w:val="00D55CB1"/>
    <w:rsid w:val="00D56F39"/>
    <w:rsid w:val="00D63AD3"/>
    <w:rsid w:val="00D6437F"/>
    <w:rsid w:val="00D70CFE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45C4"/>
    <w:rsid w:val="00DE02C6"/>
    <w:rsid w:val="00DE1B1C"/>
    <w:rsid w:val="00DF55D5"/>
    <w:rsid w:val="00DF60BB"/>
    <w:rsid w:val="00DF6CEF"/>
    <w:rsid w:val="00E17208"/>
    <w:rsid w:val="00E177F1"/>
    <w:rsid w:val="00E217BD"/>
    <w:rsid w:val="00E24676"/>
    <w:rsid w:val="00E44F6B"/>
    <w:rsid w:val="00E4622F"/>
    <w:rsid w:val="00E466A4"/>
    <w:rsid w:val="00E46B83"/>
    <w:rsid w:val="00E5046E"/>
    <w:rsid w:val="00E54063"/>
    <w:rsid w:val="00E56065"/>
    <w:rsid w:val="00E56D4B"/>
    <w:rsid w:val="00E6157A"/>
    <w:rsid w:val="00E70EF3"/>
    <w:rsid w:val="00E750E2"/>
    <w:rsid w:val="00E779A4"/>
    <w:rsid w:val="00E82DC1"/>
    <w:rsid w:val="00E9352E"/>
    <w:rsid w:val="00E939EB"/>
    <w:rsid w:val="00EA354B"/>
    <w:rsid w:val="00EB1C08"/>
    <w:rsid w:val="00EB6A23"/>
    <w:rsid w:val="00EC02A2"/>
    <w:rsid w:val="00EC5143"/>
    <w:rsid w:val="00EC7D55"/>
    <w:rsid w:val="00ED32C1"/>
    <w:rsid w:val="00ED4EFD"/>
    <w:rsid w:val="00ED643F"/>
    <w:rsid w:val="00EE0163"/>
    <w:rsid w:val="00EE1316"/>
    <w:rsid w:val="00EE4748"/>
    <w:rsid w:val="00EF01BB"/>
    <w:rsid w:val="00EF371C"/>
    <w:rsid w:val="00EF702D"/>
    <w:rsid w:val="00EF7234"/>
    <w:rsid w:val="00F0523A"/>
    <w:rsid w:val="00F10658"/>
    <w:rsid w:val="00F16335"/>
    <w:rsid w:val="00F16CDF"/>
    <w:rsid w:val="00F17EF3"/>
    <w:rsid w:val="00F21F99"/>
    <w:rsid w:val="00F25FD1"/>
    <w:rsid w:val="00F27773"/>
    <w:rsid w:val="00F34126"/>
    <w:rsid w:val="00F360A2"/>
    <w:rsid w:val="00F4227F"/>
    <w:rsid w:val="00F43D1B"/>
    <w:rsid w:val="00F4490A"/>
    <w:rsid w:val="00F45315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73F55"/>
    <w:rsid w:val="00F813A1"/>
    <w:rsid w:val="00F821DD"/>
    <w:rsid w:val="00F8287F"/>
    <w:rsid w:val="00F84B09"/>
    <w:rsid w:val="00F93DA4"/>
    <w:rsid w:val="00F976AF"/>
    <w:rsid w:val="00FA51F1"/>
    <w:rsid w:val="00FA5398"/>
    <w:rsid w:val="00FA6939"/>
    <w:rsid w:val="00FB0DEC"/>
    <w:rsid w:val="00FB1791"/>
    <w:rsid w:val="00FB430D"/>
    <w:rsid w:val="00FB5452"/>
    <w:rsid w:val="00FC4285"/>
    <w:rsid w:val="00FC72E5"/>
    <w:rsid w:val="00FD1BA5"/>
    <w:rsid w:val="00FD410F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  <w:rsid w:val="0E13256C"/>
    <w:rsid w:val="173576A9"/>
    <w:rsid w:val="23344760"/>
    <w:rsid w:val="26309C75"/>
    <w:rsid w:val="395886BC"/>
    <w:rsid w:val="3CA554AF"/>
    <w:rsid w:val="3D909C59"/>
    <w:rsid w:val="3F9A3346"/>
    <w:rsid w:val="41FA6B38"/>
    <w:rsid w:val="47FD79C7"/>
    <w:rsid w:val="49EC88C2"/>
    <w:rsid w:val="4A840582"/>
    <w:rsid w:val="4DA3F245"/>
    <w:rsid w:val="50E64E6B"/>
    <w:rsid w:val="530954C3"/>
    <w:rsid w:val="5354CBDC"/>
    <w:rsid w:val="555B69B1"/>
    <w:rsid w:val="573BC8D2"/>
    <w:rsid w:val="58F16050"/>
    <w:rsid w:val="596FEB27"/>
    <w:rsid w:val="6D504BC6"/>
    <w:rsid w:val="6FC2AC35"/>
    <w:rsid w:val="719F722E"/>
    <w:rsid w:val="745591DA"/>
    <w:rsid w:val="79DF1A1D"/>
    <w:rsid w:val="7CAAEE42"/>
    <w:rsid w:val="7F1923E6"/>
    <w:rsid w:val="7FFFD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458093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Heading2">
    <w:name w:val="heading 2"/>
    <w:basedOn w:val="Heading1"/>
    <w:next w:val="Normal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Heading3">
    <w:name w:val="heading 3"/>
    <w:basedOn w:val="Normal"/>
    <w:next w:val="Normal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Footer">
    <w:name w:val="footer"/>
    <w:basedOn w:val="Normal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Heading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Normal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Normal"/>
    <w:rsid w:val="00046FF8"/>
    <w:pPr>
      <w:numPr>
        <w:numId w:val="22"/>
      </w:numPr>
    </w:pPr>
  </w:style>
  <w:style w:type="paragraph" w:customStyle="1" w:styleId="Bulleted3">
    <w:name w:val="Bulleted 3"/>
    <w:basedOn w:val="Normal"/>
    <w:rsid w:val="00046FF8"/>
    <w:pPr>
      <w:numPr>
        <w:numId w:val="23"/>
      </w:numPr>
    </w:pPr>
  </w:style>
  <w:style w:type="paragraph" w:customStyle="1" w:styleId="Bulleted4">
    <w:name w:val="Bulleted 4"/>
    <w:basedOn w:val="Normal"/>
    <w:rsid w:val="00C177D8"/>
    <w:pPr>
      <w:numPr>
        <w:numId w:val="26"/>
      </w:numPr>
    </w:pPr>
  </w:style>
  <w:style w:type="paragraph" w:customStyle="1" w:styleId="legendeblauw">
    <w:name w:val="legende blauw"/>
    <w:basedOn w:val="Normal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Heading1Char">
    <w:name w:val="Heading 1 Char"/>
    <w:link w:val="Heading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FollowedHyperlink">
    <w:name w:val="FollowedHyperlink"/>
    <w:rsid w:val="00584014"/>
    <w:rPr>
      <w:color w:val="800080"/>
      <w:u w:val="single"/>
    </w:rPr>
  </w:style>
  <w:style w:type="paragraph" w:styleId="BalloonText">
    <w:name w:val="Balloon Text"/>
    <w:basedOn w:val="Normal"/>
    <w:semiHidden/>
    <w:rsid w:val="006453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6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6" ma:contentTypeDescription="Create a new document." ma:contentTypeScope="" ma:versionID="a41205d4abc3f1ba241e155ee5c4ff0f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b178c6f32a9b14ac88237cec7994a9d3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Props1.xml><?xml version="1.0" encoding="utf-8"?>
<ds:datastoreItem xmlns:ds="http://schemas.openxmlformats.org/officeDocument/2006/customXml" ds:itemID="{137DE9EC-9AC6-42CE-9A3C-0C346ED59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37a4d-1901-487a-8e58-d338e641c525"/>
    <ds:schemaRef ds:uri="d256ffaf-32c2-4ef8-b6e1-7613ce31a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EC9D5-E4A5-4C9F-9C57-63AFD5485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BF6F6-479E-4CC4-A40C-7C65EE2280FF}">
  <ds:schemaRefs>
    <ds:schemaRef ds:uri="http://schemas.microsoft.com/office/2006/metadata/properties"/>
    <ds:schemaRef ds:uri="http://schemas.microsoft.com/office/infopath/2007/PartnerControls"/>
    <ds:schemaRef ds:uri="d256ffaf-32c2-4ef8-b6e1-7613ce31a18f"/>
    <ds:schemaRef ds:uri="17d37a4d-1901-487a-8e58-d338e641c5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13</TotalTime>
  <Pages>3</Pages>
  <Words>707</Words>
  <Characters>3873</Characters>
  <Application>Microsoft Office Word</Application>
  <DocSecurity>0</DocSecurity>
  <Lines>32</Lines>
  <Paragraphs>9</Paragraphs>
  <ScaleCrop>false</ScaleCrop>
  <Company>Geberit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Hans Leen</cp:lastModifiedBy>
  <cp:revision>31</cp:revision>
  <cp:lastPrinted>2011-12-15T11:14:00Z</cp:lastPrinted>
  <dcterms:created xsi:type="dcterms:W3CDTF">2020-03-18T13:36:00Z</dcterms:created>
  <dcterms:modified xsi:type="dcterms:W3CDTF">2025-11-26T13:19:00Z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iteId">
    <vt:lpwstr>49c79685-7e11-437a-bb25-eba58fc041f5</vt:lpwstr>
  </property>
  <property fmtid="{D5CDD505-2E9C-101B-9397-08002B2CF9AE}" pid="4" name="MSIP_Label_583d9081-ff0c-403e-9495-6ce7896734ce_Owner">
    <vt:lpwstr>ronald.degroot@geberit.com</vt:lpwstr>
  </property>
  <property fmtid="{D5CDD505-2E9C-101B-9397-08002B2CF9AE}" pid="5" name="MSIP_Label_583d9081-ff0c-403e-9495-6ce7896734ce_SetDate">
    <vt:lpwstr>2020-03-10T15:42:32.3594892Z</vt:lpwstr>
  </property>
  <property fmtid="{D5CDD505-2E9C-101B-9397-08002B2CF9AE}" pid="6" name="MSIP_Label_583d9081-ff0c-403e-9495-6ce7896734ce_Name">
    <vt:lpwstr>Internal</vt:lpwstr>
  </property>
  <property fmtid="{D5CDD505-2E9C-101B-9397-08002B2CF9AE}" pid="7" name="MSIP_Label_583d9081-ff0c-403e-9495-6ce7896734ce_Application">
    <vt:lpwstr>Microsoft Azure Information Protection</vt:lpwstr>
  </property>
  <property fmtid="{D5CDD505-2E9C-101B-9397-08002B2CF9AE}" pid="8" name="MSIP_Label_583d9081-ff0c-403e-9495-6ce7896734ce_ActionId">
    <vt:lpwstr>990e5c3f-93be-4ada-9627-795d2c1ba01c</vt:lpwstr>
  </property>
  <property fmtid="{D5CDD505-2E9C-101B-9397-08002B2CF9AE}" pid="9" name="MSIP_Label_583d9081-ff0c-403e-9495-6ce7896734ce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0x0101003D55FDE264B6664C9E7FBDDB3754110B</vt:lpwstr>
  </property>
  <property fmtid="{D5CDD505-2E9C-101B-9397-08002B2CF9AE}" pid="12" name="MediaServiceImageTags">
    <vt:lpwstr/>
  </property>
  <property fmtid="{D5CDD505-2E9C-101B-9397-08002B2CF9AE}" pid="13" name="Order">
    <vt:r8>46000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